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31" w:rsidRPr="00211D31" w:rsidRDefault="00211D31" w:rsidP="00211D31">
      <w:pPr>
        <w:shd w:val="clear" w:color="auto" w:fill="EBECEC"/>
        <w:spacing w:before="100" w:beforeAutospacing="1" w:after="300" w:line="405" w:lineRule="atLeast"/>
        <w:rPr>
          <w:rFonts w:ascii="Times New Roman" w:eastAsia="Times New Roman" w:hAnsi="Times New Roman" w:cs="Times New Roman"/>
          <w:i/>
          <w:iCs/>
          <w:color w:val="777777"/>
          <w:sz w:val="27"/>
          <w:szCs w:val="27"/>
          <w:lang w:eastAsia="fr-FR"/>
        </w:rPr>
      </w:pPr>
      <w:r w:rsidRPr="00211D31">
        <w:rPr>
          <w:rFonts w:ascii="Times New Roman" w:eastAsia="Times New Roman" w:hAnsi="Times New Roman" w:cs="Times New Roman"/>
          <w:i/>
          <w:iCs/>
          <w:color w:val="777777"/>
          <w:sz w:val="27"/>
          <w:szCs w:val="27"/>
          <w:lang w:eastAsia="fr-FR"/>
        </w:rPr>
        <w:t>Publié le 30 juin 2010.</w:t>
      </w:r>
    </w:p>
    <w:p w:rsidR="00211D31" w:rsidRPr="00211D31" w:rsidRDefault="00211D31" w:rsidP="00211D31">
      <w:pPr>
        <w:shd w:val="clear" w:color="auto" w:fill="EBECEC"/>
        <w:spacing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Chers collègues,</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J’ai le plaisir de vous informer de la signature d’un accord salaire portant sur les salaires minimaux conventionnels des Ingénieurs et Cadres (IC) et sur ceux des Employés Techniciens Agents de Maîtrise (ETAM). Mis en application de cet accord pour toutes les entreprises à la date d’extension aout/septembre 2010).</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b/>
          <w:bCs/>
          <w:smallCaps/>
          <w:color w:val="313335"/>
          <w:lang w:eastAsia="fr-FR"/>
        </w:rPr>
        <w:t>Pour les IC</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La valeur du point des Ingénieurs et Cadres est fixée à </w:t>
      </w:r>
      <w:r w:rsidRPr="00211D31">
        <w:rPr>
          <w:rFonts w:ascii="Times New Roman" w:eastAsia="Times New Roman" w:hAnsi="Times New Roman" w:cs="Times New Roman"/>
          <w:b/>
          <w:bCs/>
          <w:color w:val="313335"/>
          <w:u w:val="single"/>
          <w:lang w:eastAsia="fr-FR"/>
        </w:rPr>
        <w:t>19,42 euros bruts</w:t>
      </w:r>
      <w:r w:rsidRPr="00211D31">
        <w:rPr>
          <w:rFonts w:ascii="Times New Roman" w:eastAsia="Times New Roman" w:hAnsi="Times New Roman" w:cs="Times New Roman"/>
          <w:color w:val="313335"/>
          <w:lang w:eastAsia="fr-FR"/>
        </w:rPr>
        <w:t> pour les Ingénieurs et Cadres classés dans la grille Cadre de la Convention Collective Nationale. Soit une hausse de 2%.</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Le tableau ci-dessous, indique les nouveaux minima conventionnels par position et coefficient.</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sz w:val="24"/>
          <w:szCs w:val="24"/>
          <w:lang w:eastAsia="fr-FR"/>
        </w:rPr>
        <w:t> </w:t>
      </w:r>
    </w:p>
    <w:tbl>
      <w:tblPr>
        <w:tblW w:w="0" w:type="auto"/>
        <w:tblCellMar>
          <w:left w:w="0" w:type="dxa"/>
          <w:right w:w="0" w:type="dxa"/>
        </w:tblCellMar>
        <w:tblLook w:val="04A0" w:firstRow="1" w:lastRow="0" w:firstColumn="1" w:lastColumn="0" w:noHBand="0" w:noVBand="1"/>
      </w:tblPr>
      <w:tblGrid>
        <w:gridCol w:w="1807"/>
        <w:gridCol w:w="1891"/>
        <w:gridCol w:w="1959"/>
        <w:gridCol w:w="3395"/>
      </w:tblGrid>
      <w:tr w:rsidR="00211D31" w:rsidRPr="00211D31" w:rsidTr="00211D31">
        <w:tc>
          <w:tcPr>
            <w:tcW w:w="9570" w:type="dxa"/>
            <w:gridSpan w:val="4"/>
            <w:tcBorders>
              <w:top w:val="single" w:sz="8" w:space="0" w:color="auto"/>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Times New Roman" w:eastAsia="Times New Roman" w:hAnsi="Times New Roman" w:cs="Times New Roman"/>
                <w:b/>
                <w:bCs/>
                <w:sz w:val="24"/>
                <w:szCs w:val="24"/>
                <w:lang w:eastAsia="fr-FR"/>
              </w:rPr>
              <w:t>IC - Barèmes applicables</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Positions</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Coefficients</w:t>
            </w:r>
          </w:p>
        </w:tc>
        <w:tc>
          <w:tcPr>
            <w:tcW w:w="2093"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Valeur du point</w:t>
            </w:r>
          </w:p>
        </w:tc>
        <w:tc>
          <w:tcPr>
            <w:tcW w:w="364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Salaires minimaux bruts</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1.1 (coeff.95)</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95</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1 844,90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1.2 (coeff.100)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100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1 942,00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2.1 (coeff.105)</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105</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2 039,10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2.1 (coeff.115)</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115</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2 233,30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2.2 (coeff.130)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130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2 524,60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2.3 (coeff.150)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150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2 913,00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3.1 (coeff.170)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170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3 301,40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3.2 (coeff.210)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210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4 078,20</w:t>
            </w:r>
          </w:p>
        </w:tc>
      </w:tr>
      <w:tr w:rsidR="00211D31" w:rsidRPr="00211D31" w:rsidTr="00211D31">
        <w:tc>
          <w:tcPr>
            <w:tcW w:w="1883"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3.3 (coeff.270)</w:t>
            </w:r>
          </w:p>
        </w:tc>
        <w:tc>
          <w:tcPr>
            <w:tcW w:w="1958"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270</w:t>
            </w:r>
          </w:p>
        </w:tc>
        <w:tc>
          <w:tcPr>
            <w:tcW w:w="2093"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19,42</w:t>
            </w:r>
          </w:p>
        </w:tc>
        <w:tc>
          <w:tcPr>
            <w:tcW w:w="364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5 243,40</w:t>
            </w:r>
          </w:p>
        </w:tc>
      </w:tr>
    </w:tbl>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b/>
          <w:bCs/>
          <w:smallCaps/>
          <w:color w:val="313335"/>
          <w:lang w:eastAsia="fr-FR"/>
        </w:rPr>
        <w:t>Pour les minima conventionnels ETAM</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lastRenderedPageBreak/>
        <w:t>Les salaires minimaux conventionnels des ETAM sont déterminés selon la formule suivante :</w:t>
      </w:r>
    </w:p>
    <w:p w:rsidR="00211D31" w:rsidRPr="00211D31" w:rsidRDefault="00211D31" w:rsidP="00211D31">
      <w:pPr>
        <w:shd w:val="clear" w:color="auto" w:fill="EBECEC"/>
        <w:spacing w:before="300" w:after="300" w:line="360" w:lineRule="atLeast"/>
        <w:jc w:val="center"/>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b/>
          <w:bCs/>
          <w:color w:val="313335"/>
          <w:lang w:eastAsia="fr-FR"/>
        </w:rPr>
        <w:t>Salaire Minimum Conventionnel</w:t>
      </w:r>
    </w:p>
    <w:p w:rsidR="00211D31" w:rsidRPr="00211D31" w:rsidRDefault="00211D31" w:rsidP="00211D31">
      <w:pPr>
        <w:shd w:val="clear" w:color="auto" w:fill="EBECEC"/>
        <w:spacing w:before="300" w:after="300" w:line="360" w:lineRule="atLeast"/>
        <w:jc w:val="center"/>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b/>
          <w:bCs/>
          <w:color w:val="313335"/>
          <w:lang w:eastAsia="fr-FR"/>
        </w:rPr>
        <w:t>= partie fixe + (valeur du point ETAM x coefficient de la position).</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Pour les positions 1.3.1, 1.3.2, 1.4.1 et 1.4.</w:t>
      </w:r>
      <w:r w:rsidRPr="00211D31">
        <w:rPr>
          <w:rFonts w:ascii="Times New Roman" w:eastAsia="Times New Roman" w:hAnsi="Times New Roman" w:cs="Times New Roman"/>
          <w:b/>
          <w:bCs/>
          <w:color w:val="313335"/>
          <w:lang w:eastAsia="fr-FR"/>
        </w:rPr>
        <w:t>2 </w:t>
      </w:r>
      <w:r w:rsidRPr="00211D31">
        <w:rPr>
          <w:rFonts w:ascii="Times New Roman" w:eastAsia="Times New Roman" w:hAnsi="Times New Roman" w:cs="Times New Roman"/>
          <w:b/>
          <w:bCs/>
          <w:color w:val="313335"/>
          <w:u w:val="single"/>
          <w:lang w:eastAsia="fr-FR"/>
        </w:rPr>
        <w:t>la valeur du point est fixée à 2,77 euros bruts et la partie fixe à 781,90 euros bruts.</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Pour les positions 2.1, 2.2, 2.3, 3.1,3.2, 3.3 </w:t>
      </w:r>
      <w:r w:rsidRPr="00211D31">
        <w:rPr>
          <w:rFonts w:ascii="Times New Roman" w:eastAsia="Times New Roman" w:hAnsi="Times New Roman" w:cs="Times New Roman"/>
          <w:b/>
          <w:bCs/>
          <w:color w:val="313335"/>
          <w:u w:val="single"/>
          <w:lang w:eastAsia="fr-FR"/>
        </w:rPr>
        <w:t>la valeur du point est fixée à 2,77 euros bruts et la partie fixe à 790,80 euros bruts.</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lang w:eastAsia="fr-FR"/>
        </w:rPr>
        <w:t>Le tableau ci-dessous, indique les nouveaux minima conventionnels par position et coefficient.</w:t>
      </w:r>
    </w:p>
    <w:p w:rsidR="00211D31" w:rsidRPr="00211D31" w:rsidRDefault="00211D31" w:rsidP="00211D31">
      <w:pPr>
        <w:shd w:val="clear" w:color="auto" w:fill="EBECEC"/>
        <w:spacing w:before="300" w:after="300" w:line="360" w:lineRule="atLeast"/>
        <w:jc w:val="both"/>
        <w:rPr>
          <w:rFonts w:ascii="Times New Roman" w:eastAsia="Times New Roman" w:hAnsi="Times New Roman" w:cs="Times New Roman"/>
          <w:color w:val="313335"/>
          <w:sz w:val="24"/>
          <w:szCs w:val="24"/>
          <w:lang w:eastAsia="fr-FR"/>
        </w:rPr>
      </w:pPr>
      <w:r w:rsidRPr="00211D31">
        <w:rPr>
          <w:rFonts w:ascii="Times New Roman" w:eastAsia="Times New Roman" w:hAnsi="Times New Roman" w:cs="Times New Roman"/>
          <w:color w:val="313335"/>
          <w:sz w:val="24"/>
          <w:szCs w:val="24"/>
          <w:lang w:eastAsia="fr-FR"/>
        </w:rPr>
        <w:t> </w:t>
      </w:r>
    </w:p>
    <w:tbl>
      <w:tblPr>
        <w:tblW w:w="0" w:type="auto"/>
        <w:tblCellMar>
          <w:left w:w="0" w:type="dxa"/>
          <w:right w:w="0" w:type="dxa"/>
        </w:tblCellMar>
        <w:tblLook w:val="04A0" w:firstRow="1" w:lastRow="0" w:firstColumn="1" w:lastColumn="0" w:noHBand="0" w:noVBand="1"/>
      </w:tblPr>
      <w:tblGrid>
        <w:gridCol w:w="1302"/>
        <w:gridCol w:w="1560"/>
        <w:gridCol w:w="1482"/>
        <w:gridCol w:w="1797"/>
        <w:gridCol w:w="2911"/>
      </w:tblGrid>
      <w:tr w:rsidR="00211D31" w:rsidRPr="00211D31" w:rsidTr="00211D31">
        <w:tc>
          <w:tcPr>
            <w:tcW w:w="9570" w:type="dxa"/>
            <w:gridSpan w:val="5"/>
            <w:tcBorders>
              <w:top w:val="single" w:sz="8" w:space="0" w:color="auto"/>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b/>
                <w:bCs/>
                <w:sz w:val="24"/>
                <w:szCs w:val="24"/>
                <w:lang w:eastAsia="fr-FR"/>
              </w:rPr>
              <w:t>ETAM - Barèmes applicables</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Position</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Coefficient</w:t>
            </w:r>
          </w:p>
        </w:tc>
        <w:tc>
          <w:tcPr>
            <w:tcW w:w="157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Base fixe</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Valeur du point</w:t>
            </w:r>
          </w:p>
        </w:tc>
        <w:tc>
          <w:tcPr>
            <w:tcW w:w="31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Salaires minimaux bruts</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1.3.1</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220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781,90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1 391,30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1.3.2</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230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781,90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1 419,00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1.4.1</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240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781,90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1 446,70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1.4.2</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250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781,90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1 474,40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2.1</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275</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1 552,55</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2.2</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310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1 649,50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2.3</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355</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1 774,15</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3.1</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400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1 898,80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3.2</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450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2 037,30</w:t>
            </w:r>
          </w:p>
        </w:tc>
      </w:tr>
      <w:tr w:rsidR="00211D31" w:rsidRPr="00211D31" w:rsidTr="00211D31">
        <w:tc>
          <w:tcPr>
            <w:tcW w:w="1350" w:type="dxa"/>
            <w:tcBorders>
              <w:top w:val="nil"/>
              <w:left w:val="single" w:sz="8" w:space="0" w:color="auto"/>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3.3</w:t>
            </w:r>
          </w:p>
        </w:tc>
        <w:tc>
          <w:tcPr>
            <w:tcW w:w="1605"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both"/>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500</w:t>
            </w:r>
          </w:p>
        </w:tc>
        <w:tc>
          <w:tcPr>
            <w:tcW w:w="1575"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790,80</w:t>
            </w:r>
          </w:p>
        </w:tc>
        <w:tc>
          <w:tcPr>
            <w:tcW w:w="1920" w:type="dxa"/>
            <w:tcBorders>
              <w:top w:val="nil"/>
              <w:left w:val="nil"/>
              <w:bottom w:val="single" w:sz="8" w:space="0" w:color="auto"/>
              <w:right w:val="single" w:sz="8" w:space="0" w:color="auto"/>
            </w:tcBorders>
            <w:shd w:val="clear" w:color="auto" w:fill="auto"/>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2,77</w:t>
            </w:r>
          </w:p>
        </w:tc>
        <w:tc>
          <w:tcPr>
            <w:tcW w:w="3120" w:type="dxa"/>
            <w:tcBorders>
              <w:top w:val="nil"/>
              <w:left w:val="nil"/>
              <w:bottom w:val="single" w:sz="8" w:space="0" w:color="auto"/>
              <w:right w:val="single" w:sz="8" w:space="0" w:color="auto"/>
            </w:tcBorders>
            <w:shd w:val="clear" w:color="auto" w:fill="auto"/>
            <w:vAlign w:val="bottom"/>
            <w:hideMark/>
          </w:tcPr>
          <w:p w:rsidR="00211D31" w:rsidRPr="00211D31" w:rsidRDefault="00211D31" w:rsidP="00211D31">
            <w:pPr>
              <w:spacing w:after="300" w:line="240" w:lineRule="auto"/>
              <w:jc w:val="center"/>
              <w:rPr>
                <w:rFonts w:ascii="Times New Roman" w:eastAsia="Times New Roman" w:hAnsi="Times New Roman" w:cs="Times New Roman"/>
                <w:sz w:val="24"/>
                <w:szCs w:val="24"/>
                <w:lang w:eastAsia="fr-FR"/>
              </w:rPr>
            </w:pPr>
            <w:r w:rsidRPr="00211D31">
              <w:rPr>
                <w:rFonts w:ascii="Palatino Linotype" w:eastAsia="Times New Roman" w:hAnsi="Palatino Linotype" w:cs="Times New Roman"/>
                <w:sz w:val="24"/>
                <w:szCs w:val="24"/>
                <w:lang w:eastAsia="fr-FR"/>
              </w:rPr>
              <w:t>2 175,80</w:t>
            </w:r>
          </w:p>
        </w:tc>
      </w:tr>
    </w:tbl>
    <w:p w:rsidR="00740F3A" w:rsidRDefault="00740F3A">
      <w:bookmarkStart w:id="0" w:name="_GoBack"/>
      <w:bookmarkEnd w:id="0"/>
    </w:p>
    <w:sectPr w:rsidR="0074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CC"/>
    <w:rsid w:val="000C6709"/>
    <w:rsid w:val="00211D31"/>
    <w:rsid w:val="003D432A"/>
    <w:rsid w:val="00455552"/>
    <w:rsid w:val="004F2146"/>
    <w:rsid w:val="00722CCD"/>
    <w:rsid w:val="00740F3A"/>
    <w:rsid w:val="0082577F"/>
    <w:rsid w:val="00AC38CC"/>
    <w:rsid w:val="00DA6F01"/>
    <w:rsid w:val="00E114CC"/>
    <w:rsid w:val="00E40231"/>
    <w:rsid w:val="00F35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4818-A824-49C2-A378-EBC12F95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k-article-meta">
    <w:name w:val="uk-article-meta"/>
    <w:basedOn w:val="Normal"/>
    <w:rsid w:val="00211D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11D31"/>
  </w:style>
  <w:style w:type="character" w:styleId="lev">
    <w:name w:val="Strong"/>
    <w:basedOn w:val="Policepardfaut"/>
    <w:uiPriority w:val="22"/>
    <w:qFormat/>
    <w:rsid w:val="00211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50149">
      <w:bodyDiv w:val="1"/>
      <w:marLeft w:val="0"/>
      <w:marRight w:val="0"/>
      <w:marTop w:val="0"/>
      <w:marBottom w:val="0"/>
      <w:divBdr>
        <w:top w:val="none" w:sz="0" w:space="0" w:color="auto"/>
        <w:left w:val="none" w:sz="0" w:space="0" w:color="auto"/>
        <w:bottom w:val="none" w:sz="0" w:space="0" w:color="auto"/>
        <w:right w:val="none" w:sz="0" w:space="0" w:color="auto"/>
      </w:divBdr>
      <w:divsChild>
        <w:div w:id="186720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2015-06-01T13:16:00Z</dcterms:created>
  <dcterms:modified xsi:type="dcterms:W3CDTF">2015-06-01T13:16:00Z</dcterms:modified>
</cp:coreProperties>
</file>